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97B78" w14:textId="77777777" w:rsidR="00D12BCB" w:rsidRPr="00243170" w:rsidRDefault="00D12BCB" w:rsidP="00D12BCB">
      <w:pPr>
        <w:tabs>
          <w:tab w:val="left" w:pos="2127"/>
        </w:tabs>
        <w:spacing w:before="360"/>
        <w:ind w:left="2126" w:hanging="2126"/>
        <w:rPr>
          <w:rFonts w:cs="Arial"/>
          <w:b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Source:</w:t>
      </w:r>
      <w:r w:rsidRPr="00243170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Ericsson LM</w:t>
      </w:r>
    </w:p>
    <w:p w14:paraId="616299A3" w14:textId="77777777" w:rsidR="00D12BCB" w:rsidRPr="00797EB0" w:rsidRDefault="00D12BCB" w:rsidP="00D12BCB">
      <w:pPr>
        <w:tabs>
          <w:tab w:val="left" w:pos="2127"/>
        </w:tabs>
        <w:ind w:left="2131" w:hanging="2131"/>
        <w:rPr>
          <w:rFonts w:cs="Arial"/>
          <w:b/>
          <w:color w:val="000000"/>
          <w:sz w:val="24"/>
          <w:szCs w:val="24"/>
        </w:rPr>
      </w:pPr>
      <w:r w:rsidRPr="00243170">
        <w:rPr>
          <w:rFonts w:cs="Arial"/>
          <w:b/>
          <w:sz w:val="24"/>
          <w:szCs w:val="24"/>
        </w:rPr>
        <w:t>Title:</w:t>
      </w:r>
      <w:r w:rsidRPr="00243170">
        <w:rPr>
          <w:rFonts w:cs="Arial"/>
          <w:b/>
          <w:sz w:val="24"/>
          <w:szCs w:val="24"/>
        </w:rPr>
        <w:tab/>
      </w:r>
      <w:r w:rsidRPr="00C17D68">
        <w:rPr>
          <w:rFonts w:cs="Arial"/>
          <w:b/>
          <w:sz w:val="24"/>
          <w:szCs w:val="24"/>
        </w:rPr>
        <w:t xml:space="preserve">Discussion on </w:t>
      </w:r>
      <w:r>
        <w:rPr>
          <w:rFonts w:cs="Arial"/>
          <w:b/>
          <w:sz w:val="24"/>
          <w:szCs w:val="24"/>
        </w:rPr>
        <w:t xml:space="preserve">User Generated </w:t>
      </w:r>
      <w:r w:rsidR="008E3CF7">
        <w:rPr>
          <w:rFonts w:cs="Arial"/>
          <w:b/>
          <w:sz w:val="24"/>
          <w:szCs w:val="24"/>
        </w:rPr>
        <w:t xml:space="preserve">VR </w:t>
      </w:r>
      <w:r>
        <w:rPr>
          <w:rFonts w:cs="Arial"/>
          <w:b/>
          <w:sz w:val="24"/>
          <w:szCs w:val="24"/>
        </w:rPr>
        <w:t>Content</w:t>
      </w:r>
    </w:p>
    <w:p w14:paraId="1EACE38D" w14:textId="0E5DF27D" w:rsidR="00D12BCB" w:rsidRPr="00393187" w:rsidRDefault="00D12BCB" w:rsidP="00D12BCB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 w:rsidRPr="00393187">
        <w:rPr>
          <w:rFonts w:cs="Arial"/>
          <w:b/>
          <w:sz w:val="24"/>
          <w:szCs w:val="24"/>
        </w:rPr>
        <w:t>Document for:</w:t>
      </w:r>
      <w:r w:rsidRPr="00393187">
        <w:rPr>
          <w:rFonts w:cs="Arial"/>
          <w:b/>
          <w:sz w:val="24"/>
          <w:szCs w:val="24"/>
        </w:rPr>
        <w:tab/>
        <w:t>Discussion</w:t>
      </w:r>
      <w:r>
        <w:rPr>
          <w:rFonts w:cs="Arial"/>
          <w:b/>
          <w:sz w:val="24"/>
          <w:szCs w:val="24"/>
        </w:rPr>
        <w:t xml:space="preserve"> and A</w:t>
      </w:r>
      <w:r w:rsidR="00E168E0">
        <w:rPr>
          <w:rFonts w:cs="Arial"/>
          <w:b/>
          <w:sz w:val="24"/>
          <w:szCs w:val="24"/>
        </w:rPr>
        <w:t>greement</w:t>
      </w:r>
    </w:p>
    <w:p w14:paraId="69A249D3" w14:textId="77777777" w:rsidR="00D12BCB" w:rsidRPr="00393187" w:rsidRDefault="003B1D16" w:rsidP="00D12BCB">
      <w:pPr>
        <w:tabs>
          <w:tab w:val="left" w:pos="2127"/>
        </w:tabs>
        <w:ind w:left="2131" w:hanging="213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sz w:val="24"/>
          <w:szCs w:val="24"/>
        </w:rPr>
        <w:tab/>
        <w:t>10.8</w:t>
      </w:r>
    </w:p>
    <w:p w14:paraId="11F706EF" w14:textId="77777777" w:rsidR="00D12BCB" w:rsidRPr="00243170" w:rsidRDefault="00D12BCB" w:rsidP="00D12BCB">
      <w:pPr>
        <w:pBdr>
          <w:top w:val="single" w:sz="12" w:space="1" w:color="auto"/>
        </w:pBdr>
        <w:spacing w:after="0"/>
        <w:rPr>
          <w:sz w:val="20"/>
        </w:rPr>
      </w:pPr>
    </w:p>
    <w:p w14:paraId="4CD1CC26" w14:textId="77777777" w:rsidR="00D12BCB" w:rsidRPr="00214940" w:rsidRDefault="00D12BCB" w:rsidP="00D12BCB">
      <w:pPr>
        <w:pStyle w:val="Heading1"/>
      </w:pPr>
      <w:r w:rsidRPr="00214940">
        <w:t>1 Introduction</w:t>
      </w:r>
    </w:p>
    <w:p w14:paraId="2791B907" w14:textId="128F407E" w:rsidR="00D12BCB" w:rsidRDefault="00D12BCB" w:rsidP="00D12BCB">
      <w:pPr>
        <w:rPr>
          <w:rFonts w:eastAsia="Batang"/>
          <w:lang w:val="en-US"/>
        </w:rPr>
      </w:pPr>
      <w:r>
        <w:rPr>
          <w:rFonts w:eastAsia="Batang"/>
          <w:lang w:eastAsia="ja-JP"/>
        </w:rPr>
        <w:t xml:space="preserve">This document raises the issue of lacking </w:t>
      </w:r>
      <w:r w:rsidR="00E168E0">
        <w:rPr>
          <w:rFonts w:eastAsia="Batang"/>
          <w:lang w:eastAsia="ja-JP"/>
        </w:rPr>
        <w:t>short-term definitions of</w:t>
      </w:r>
      <w:r>
        <w:rPr>
          <w:rFonts w:eastAsia="Batang"/>
          <w:lang w:eastAsia="ja-JP"/>
        </w:rPr>
        <w:t xml:space="preserve"> user generated </w:t>
      </w:r>
      <w:r w:rsidR="008E3CF7">
        <w:rPr>
          <w:rFonts w:eastAsia="Batang"/>
          <w:lang w:eastAsia="ja-JP"/>
        </w:rPr>
        <w:t xml:space="preserve">VR </w:t>
      </w:r>
      <w:r>
        <w:rPr>
          <w:rFonts w:eastAsia="Batang"/>
          <w:lang w:eastAsia="ja-JP"/>
        </w:rPr>
        <w:t>content enablers, like media profiles, in current 3GPP work on VR.</w:t>
      </w:r>
    </w:p>
    <w:p w14:paraId="1C74189D" w14:textId="77777777" w:rsidR="00D12BCB" w:rsidRDefault="00D12BCB" w:rsidP="00D12BCB">
      <w:pPr>
        <w:pStyle w:val="Heading1"/>
      </w:pPr>
      <w:r>
        <w:t>2 Discussion</w:t>
      </w:r>
    </w:p>
    <w:p w14:paraId="2CE0F50F" w14:textId="77777777" w:rsidR="007F0F9F" w:rsidRDefault="007F0F9F" w:rsidP="007F0F9F">
      <w:pPr>
        <w:rPr>
          <w:rFonts w:eastAsia="Batang"/>
          <w:lang w:eastAsia="ja-JP"/>
        </w:rPr>
      </w:pPr>
      <w:r w:rsidRPr="007F0F9F">
        <w:rPr>
          <w:rFonts w:eastAsia="Batang"/>
          <w:lang w:eastAsia="ja-JP"/>
        </w:rPr>
        <w:t xml:space="preserve">There is already a growing market for user-generated VR content, using proprietary solutions, which causes market fragmentation. Providing a 3GPP solution could help reduce market fragmentation, enable 3GPP uplink access optimization for UE-generated VR content, and provide alignment with the 3GPP VR UE consumption described by related work in </w:t>
      </w:r>
      <w:r>
        <w:rPr>
          <w:rFonts w:eastAsia="Batang"/>
          <w:lang w:eastAsia="ja-JP"/>
        </w:rPr>
        <w:t>3GPP.</w:t>
      </w:r>
    </w:p>
    <w:p w14:paraId="4D2618DD" w14:textId="77777777" w:rsidR="00D12BCB" w:rsidRDefault="008E3CF7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Even though the technical report on virtual reality TR 26.918 [1] includes both use cases, identified gaps, and proposed objectives related to user generated content, neither the </w:t>
      </w:r>
      <w:proofErr w:type="spellStart"/>
      <w:r>
        <w:rPr>
          <w:rFonts w:eastAsia="Batang"/>
          <w:lang w:eastAsia="ja-JP"/>
        </w:rPr>
        <w:t>VRStream</w:t>
      </w:r>
      <w:proofErr w:type="spellEnd"/>
      <w:r>
        <w:rPr>
          <w:rFonts w:eastAsia="Batang"/>
          <w:lang w:eastAsia="ja-JP"/>
        </w:rPr>
        <w:t xml:space="preserve"> </w:t>
      </w:r>
      <w:r w:rsidR="00187EE6">
        <w:rPr>
          <w:rFonts w:eastAsia="Batang"/>
          <w:lang w:eastAsia="ja-JP"/>
        </w:rPr>
        <w:t>[2</w:t>
      </w:r>
      <w:r>
        <w:rPr>
          <w:rFonts w:eastAsia="Batang"/>
          <w:lang w:eastAsia="ja-JP"/>
        </w:rPr>
        <w:t xml:space="preserve">] nor the FLUS </w:t>
      </w:r>
      <w:r w:rsidR="00187EE6">
        <w:rPr>
          <w:rFonts w:eastAsia="Batang"/>
          <w:lang w:eastAsia="ja-JP"/>
        </w:rPr>
        <w:t>[3</w:t>
      </w:r>
      <w:r>
        <w:rPr>
          <w:rFonts w:eastAsia="Batang"/>
          <w:lang w:eastAsia="ja-JP"/>
        </w:rPr>
        <w:t>] work items currently describe or define anything related to user generated content.</w:t>
      </w:r>
    </w:p>
    <w:p w14:paraId="4994BD03" w14:textId="01B5B288" w:rsidR="00E82466" w:rsidRDefault="00AB3293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>It is assumed beneficial if the media format for user generated VR content could be re-used as VR consumption media format wit</w:t>
      </w:r>
      <w:r w:rsidR="00E82466">
        <w:rPr>
          <w:rFonts w:eastAsia="Batang"/>
          <w:lang w:eastAsia="ja-JP"/>
        </w:rPr>
        <w:t xml:space="preserve">h minimum amount of conversion. Considering that the </w:t>
      </w:r>
      <w:proofErr w:type="spellStart"/>
      <w:r w:rsidR="00E82466">
        <w:rPr>
          <w:rFonts w:eastAsia="Batang"/>
          <w:lang w:eastAsia="ja-JP"/>
        </w:rPr>
        <w:t>VRStream</w:t>
      </w:r>
      <w:proofErr w:type="spellEnd"/>
      <w:r w:rsidR="00E82466">
        <w:rPr>
          <w:rFonts w:eastAsia="Batang"/>
          <w:lang w:eastAsia="ja-JP"/>
        </w:rPr>
        <w:t xml:space="preserve"> work item is defining VR consumption, it would seem feasible </w:t>
      </w:r>
      <w:r w:rsidR="00B31A8C">
        <w:rPr>
          <w:rFonts w:eastAsia="Batang"/>
          <w:lang w:eastAsia="ja-JP"/>
        </w:rPr>
        <w:t xml:space="preserve">to define the user generated VR content media profiles as subsets of the VR consumption ones, which would allow sharing much </w:t>
      </w:r>
      <w:r w:rsidR="002A4F69">
        <w:rPr>
          <w:rFonts w:eastAsia="Batang"/>
          <w:lang w:eastAsia="ja-JP"/>
        </w:rPr>
        <w:t xml:space="preserve">of, </w:t>
      </w:r>
      <w:r w:rsidR="00B31A8C">
        <w:rPr>
          <w:rFonts w:eastAsia="Batang"/>
          <w:lang w:eastAsia="ja-JP"/>
        </w:rPr>
        <w:t xml:space="preserve">or even </w:t>
      </w:r>
      <w:r w:rsidR="002A4F69">
        <w:rPr>
          <w:rFonts w:eastAsia="Batang"/>
          <w:lang w:eastAsia="ja-JP"/>
        </w:rPr>
        <w:t xml:space="preserve">all, </w:t>
      </w:r>
      <w:r w:rsidR="00B31A8C">
        <w:rPr>
          <w:rFonts w:eastAsia="Batang"/>
          <w:lang w:eastAsia="ja-JP"/>
        </w:rPr>
        <w:t xml:space="preserve">the media profile characterization. It would also seem feasible </w:t>
      </w:r>
      <w:r w:rsidR="00E82466">
        <w:rPr>
          <w:rFonts w:eastAsia="Batang"/>
          <w:lang w:eastAsia="ja-JP"/>
        </w:rPr>
        <w:t>to have those formats defined in the same work item. Some concerns have however been raised that updating the</w:t>
      </w:r>
      <w:bookmarkStart w:id="0" w:name="_GoBack"/>
      <w:bookmarkEnd w:id="0"/>
      <w:r w:rsidR="00E82466">
        <w:rPr>
          <w:rFonts w:eastAsia="Batang"/>
          <w:lang w:eastAsia="ja-JP"/>
        </w:rPr>
        <w:t xml:space="preserve"> already challenging </w:t>
      </w:r>
      <w:proofErr w:type="spellStart"/>
      <w:r w:rsidR="00E82466">
        <w:rPr>
          <w:rFonts w:eastAsia="Batang"/>
          <w:lang w:eastAsia="ja-JP"/>
        </w:rPr>
        <w:t>VRStream</w:t>
      </w:r>
      <w:proofErr w:type="spellEnd"/>
      <w:r w:rsidR="00E82466">
        <w:rPr>
          <w:rFonts w:eastAsia="Batang"/>
          <w:lang w:eastAsia="ja-JP"/>
        </w:rPr>
        <w:t xml:space="preserve"> work item could risk delaying it until after the targeted Rel-15, </w:t>
      </w:r>
      <w:r w:rsidR="00B31A8C">
        <w:rPr>
          <w:rFonts w:eastAsia="Batang"/>
          <w:lang w:eastAsia="ja-JP"/>
        </w:rPr>
        <w:t xml:space="preserve">which </w:t>
      </w:r>
      <w:r w:rsidR="00E82466">
        <w:rPr>
          <w:rFonts w:eastAsia="Batang"/>
          <w:lang w:eastAsia="ja-JP"/>
        </w:rPr>
        <w:t>is not desirable.</w:t>
      </w:r>
    </w:p>
    <w:p w14:paraId="6A23F70D" w14:textId="1E1A37EC" w:rsidR="00E82466" w:rsidRDefault="00AB3293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It is further assumed beneficial if </w:t>
      </w:r>
      <w:r w:rsidR="00E168E0">
        <w:rPr>
          <w:rFonts w:eastAsia="Batang"/>
          <w:lang w:eastAsia="ja-JP"/>
        </w:rPr>
        <w:t>at least some small set of</w:t>
      </w:r>
      <w:r>
        <w:rPr>
          <w:rFonts w:eastAsia="Batang"/>
          <w:lang w:eastAsia="ja-JP"/>
        </w:rPr>
        <w:t xml:space="preserve"> user generated VR content media </w:t>
      </w:r>
      <w:r w:rsidR="00E168E0">
        <w:rPr>
          <w:rFonts w:eastAsia="Batang"/>
          <w:lang w:eastAsia="ja-JP"/>
        </w:rPr>
        <w:t xml:space="preserve">profiles </w:t>
      </w:r>
      <w:r>
        <w:rPr>
          <w:rFonts w:eastAsia="Batang"/>
          <w:lang w:eastAsia="ja-JP"/>
        </w:rPr>
        <w:t xml:space="preserve">can be defined </w:t>
      </w:r>
      <w:r w:rsidR="00E168E0">
        <w:rPr>
          <w:rFonts w:eastAsia="Batang"/>
          <w:lang w:eastAsia="ja-JP"/>
        </w:rPr>
        <w:t>already in Rel-15 timeframe, utilizing already defined 3GPP media codecs</w:t>
      </w:r>
      <w:r w:rsidR="00187EE6">
        <w:rPr>
          <w:rFonts w:eastAsia="Batang"/>
          <w:lang w:eastAsia="ja-JP"/>
        </w:rPr>
        <w:t>, with small additions to support VR content</w:t>
      </w:r>
      <w:r w:rsidR="00E82466">
        <w:rPr>
          <w:rFonts w:eastAsia="Batang"/>
          <w:lang w:eastAsia="ja-JP"/>
        </w:rPr>
        <w:t>.</w:t>
      </w:r>
    </w:p>
    <w:p w14:paraId="00C99B32" w14:textId="77777777" w:rsidR="00AB3293" w:rsidRDefault="00187EE6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For video, </w:t>
      </w:r>
      <w:r w:rsidR="00B31A8C">
        <w:rPr>
          <w:rFonts w:eastAsia="Batang"/>
          <w:lang w:eastAsia="ja-JP"/>
        </w:rPr>
        <w:t>one media profile could for example be</w:t>
      </w:r>
      <w:r>
        <w:rPr>
          <w:rFonts w:eastAsia="Batang"/>
          <w:lang w:eastAsia="ja-JP"/>
        </w:rPr>
        <w:t xml:space="preserve"> </w:t>
      </w:r>
      <w:r w:rsidR="00B31A8C">
        <w:rPr>
          <w:rFonts w:eastAsia="Batang"/>
          <w:lang w:eastAsia="ja-JP"/>
        </w:rPr>
        <w:t xml:space="preserve">based on </w:t>
      </w:r>
      <w:r>
        <w:rPr>
          <w:rFonts w:eastAsia="Batang"/>
          <w:lang w:eastAsia="ja-JP"/>
        </w:rPr>
        <w:t>viewport-independent H.264 high or constrained high profile at sufficiently high level to support UHD (4K) content.</w:t>
      </w:r>
    </w:p>
    <w:p w14:paraId="51538F1A" w14:textId="1271CB78" w:rsidR="00187EE6" w:rsidRDefault="00187EE6" w:rsidP="00D12BCB">
      <w:pPr>
        <w:rPr>
          <w:rFonts w:eastAsia="Batang"/>
          <w:lang w:eastAsia="ja-JP"/>
        </w:rPr>
      </w:pPr>
      <w:r>
        <w:rPr>
          <w:rFonts w:eastAsia="Batang"/>
          <w:lang w:eastAsia="ja-JP"/>
        </w:rPr>
        <w:t xml:space="preserve">For audio, </w:t>
      </w:r>
      <w:r w:rsidR="00B31A8C">
        <w:rPr>
          <w:rFonts w:eastAsia="Batang"/>
          <w:lang w:eastAsia="ja-JP"/>
        </w:rPr>
        <w:t xml:space="preserve">one media profile </w:t>
      </w:r>
      <w:r>
        <w:rPr>
          <w:rFonts w:eastAsia="Batang"/>
          <w:lang w:eastAsia="ja-JP"/>
        </w:rPr>
        <w:t xml:space="preserve">could for example be based on 4-channel EVS first-order ambisonics (FOA), as outlined by the CODVRA [4] </w:t>
      </w:r>
      <w:r w:rsidR="00E168E0">
        <w:rPr>
          <w:rFonts w:eastAsia="Batang"/>
          <w:lang w:eastAsia="ja-JP"/>
        </w:rPr>
        <w:t>study</w:t>
      </w:r>
      <w:r>
        <w:rPr>
          <w:rFonts w:eastAsia="Batang"/>
          <w:lang w:eastAsia="ja-JP"/>
        </w:rPr>
        <w:t xml:space="preserve">. </w:t>
      </w:r>
      <w:r w:rsidR="00C65598">
        <w:rPr>
          <w:rFonts w:eastAsia="Batang"/>
          <w:lang w:eastAsia="ja-JP"/>
        </w:rPr>
        <w:t xml:space="preserve">This could constitute a first step towards what is targeted in </w:t>
      </w:r>
      <w:r>
        <w:rPr>
          <w:rFonts w:eastAsia="Batang"/>
          <w:lang w:eastAsia="ja-JP"/>
        </w:rPr>
        <w:t>the IVAS [5]</w:t>
      </w:r>
      <w:r w:rsidR="00B31A8C">
        <w:rPr>
          <w:rFonts w:eastAsia="Batang"/>
          <w:lang w:eastAsia="ja-JP"/>
        </w:rPr>
        <w:t xml:space="preserve"> </w:t>
      </w:r>
      <w:r w:rsidR="00E168E0">
        <w:rPr>
          <w:rFonts w:eastAsia="Batang"/>
          <w:lang w:eastAsia="ja-JP"/>
        </w:rPr>
        <w:t>work item</w:t>
      </w:r>
      <w:r w:rsidR="00B31A8C">
        <w:rPr>
          <w:rFonts w:eastAsia="Batang"/>
          <w:lang w:eastAsia="ja-JP"/>
        </w:rPr>
        <w:t xml:space="preserve">, but that </w:t>
      </w:r>
      <w:r w:rsidR="00C65598">
        <w:rPr>
          <w:rFonts w:eastAsia="Batang"/>
          <w:lang w:eastAsia="ja-JP"/>
        </w:rPr>
        <w:t xml:space="preserve">work is targeting </w:t>
      </w:r>
      <w:r w:rsidR="00E07B93">
        <w:rPr>
          <w:rFonts w:eastAsia="Batang"/>
          <w:lang w:eastAsia="ja-JP"/>
        </w:rPr>
        <w:t>a future</w:t>
      </w:r>
      <w:r w:rsidR="00E168E0">
        <w:rPr>
          <w:rFonts w:eastAsia="Batang"/>
          <w:lang w:eastAsia="ja-JP"/>
        </w:rPr>
        <w:t>, more advanced</w:t>
      </w:r>
      <w:r w:rsidR="00E07B93">
        <w:rPr>
          <w:rFonts w:eastAsia="Batang"/>
          <w:lang w:eastAsia="ja-JP"/>
        </w:rPr>
        <w:t xml:space="preserve"> amendment, </w:t>
      </w:r>
      <w:r w:rsidR="00C65598">
        <w:rPr>
          <w:rFonts w:eastAsia="Batang"/>
          <w:lang w:eastAsia="ja-JP"/>
        </w:rPr>
        <w:t xml:space="preserve">in </w:t>
      </w:r>
      <w:r w:rsidR="00B31A8C">
        <w:rPr>
          <w:rFonts w:eastAsia="Batang"/>
          <w:lang w:eastAsia="ja-JP"/>
        </w:rPr>
        <w:t>Rel-16 timeframe.</w:t>
      </w:r>
    </w:p>
    <w:p w14:paraId="0DA5AC4B" w14:textId="77777777" w:rsidR="00D12BCB" w:rsidRDefault="00D12BCB" w:rsidP="00D12BCB">
      <w:pPr>
        <w:pStyle w:val="Heading1"/>
      </w:pPr>
      <w:r>
        <w:t xml:space="preserve">3 </w:t>
      </w:r>
      <w:r w:rsidRPr="002D6D59">
        <w:t>Proposal</w:t>
      </w:r>
    </w:p>
    <w:p w14:paraId="27CF8201" w14:textId="77777777" w:rsidR="00D12BCB" w:rsidRDefault="00D12BCB" w:rsidP="00D12BCB">
      <w:pPr>
        <w:rPr>
          <w:lang w:val="en-US" w:eastAsia="ja-JP"/>
        </w:rPr>
      </w:pPr>
      <w:r>
        <w:rPr>
          <w:lang w:val="en-US" w:eastAsia="ja-JP"/>
        </w:rPr>
        <w:t xml:space="preserve">It is proposed to </w:t>
      </w:r>
      <w:r w:rsidR="007F0F9F">
        <w:rPr>
          <w:lang w:val="en-US" w:eastAsia="ja-JP"/>
        </w:rPr>
        <w:t xml:space="preserve">define a Rel-15 work item to amend TS 26.118 with </w:t>
      </w:r>
      <w:r w:rsidR="00AB3293">
        <w:rPr>
          <w:lang w:val="en-US" w:eastAsia="ja-JP"/>
        </w:rPr>
        <w:t xml:space="preserve">enablers for </w:t>
      </w:r>
      <w:r w:rsidR="007F0F9F">
        <w:rPr>
          <w:lang w:val="en-US" w:eastAsia="ja-JP"/>
        </w:rPr>
        <w:t>basic user generated VR content</w:t>
      </w:r>
      <w:r w:rsidR="00B31A8C">
        <w:rPr>
          <w:lang w:val="en-US" w:eastAsia="ja-JP"/>
        </w:rPr>
        <w:t>, taking above discussion into account</w:t>
      </w:r>
      <w:r>
        <w:rPr>
          <w:lang w:val="en-US" w:eastAsia="ja-JP"/>
        </w:rPr>
        <w:t>.</w:t>
      </w:r>
    </w:p>
    <w:p w14:paraId="5EBB2226" w14:textId="77777777" w:rsidR="00D12BCB" w:rsidRDefault="00D12BCB" w:rsidP="00D12BCB">
      <w:pPr>
        <w:pStyle w:val="Heading1"/>
      </w:pPr>
      <w:r>
        <w:lastRenderedPageBreak/>
        <w:t xml:space="preserve">4 References </w:t>
      </w:r>
    </w:p>
    <w:p w14:paraId="4C19F813" w14:textId="77777777" w:rsidR="00D12BCB" w:rsidRDefault="00D12BCB" w:rsidP="00D12BCB">
      <w:pPr>
        <w:rPr>
          <w:lang w:val="en-US" w:eastAsia="ja-JP"/>
        </w:rPr>
      </w:pPr>
    </w:p>
    <w:p w14:paraId="1B4EDCCD" w14:textId="77777777" w:rsidR="008E3CF7" w:rsidRPr="00E168E0" w:rsidRDefault="008E3CF7" w:rsidP="008E3CF7">
      <w:pPr>
        <w:rPr>
          <w:lang w:val="en-US" w:eastAsia="ja-JP"/>
        </w:rPr>
      </w:pPr>
      <w:r w:rsidRPr="00E168E0">
        <w:rPr>
          <w:lang w:val="en-US" w:eastAsia="ja-JP"/>
        </w:rPr>
        <w:t xml:space="preserve">[1] TR 26.918: </w:t>
      </w:r>
      <w:hyperlink r:id="rId6" w:history="1">
        <w:r w:rsidR="007F0F9F" w:rsidRPr="00E168E0">
          <w:rPr>
            <w:rStyle w:val="Hyperlink"/>
            <w:lang w:eastAsia="ja-JP"/>
          </w:rPr>
          <w:t>http://www.3gpp.org/DynaReport/26918.htm</w:t>
        </w:r>
      </w:hyperlink>
    </w:p>
    <w:p w14:paraId="3B796D87" w14:textId="77777777" w:rsidR="008E3CF7" w:rsidRDefault="008E3CF7" w:rsidP="008E3CF7">
      <w:pPr>
        <w:rPr>
          <w:lang w:val="en-US" w:eastAsia="ja-JP"/>
        </w:rPr>
      </w:pPr>
      <w:r>
        <w:rPr>
          <w:lang w:val="en-US" w:eastAsia="ja-JP"/>
        </w:rPr>
        <w:t xml:space="preserve">[2] </w:t>
      </w:r>
      <w:proofErr w:type="spellStart"/>
      <w:r>
        <w:rPr>
          <w:lang w:val="en-US" w:eastAsia="ja-JP"/>
        </w:rPr>
        <w:t>VRStream</w:t>
      </w:r>
      <w:proofErr w:type="spellEnd"/>
      <w:r>
        <w:rPr>
          <w:lang w:val="en-US" w:eastAsia="ja-JP"/>
        </w:rPr>
        <w:t xml:space="preserve"> Work Item: </w:t>
      </w:r>
      <w:hyperlink r:id="rId7" w:history="1">
        <w:r w:rsidRPr="00426FC6">
          <w:rPr>
            <w:rStyle w:val="Hyperlink"/>
            <w:lang w:eastAsia="ja-JP"/>
          </w:rPr>
          <w:t>http://www.3gpp.org/ftp/tsg_sa/TSG_SA/TSGS_77/Docs//SP-170612.zip</w:t>
        </w:r>
      </w:hyperlink>
    </w:p>
    <w:p w14:paraId="3C6BB1B4" w14:textId="77777777" w:rsidR="00D12BCB" w:rsidRDefault="008E3CF7" w:rsidP="008E3CF7">
      <w:pPr>
        <w:rPr>
          <w:lang w:val="en-US" w:eastAsia="ja-JP"/>
        </w:rPr>
      </w:pPr>
      <w:r>
        <w:rPr>
          <w:lang w:val="en-US" w:eastAsia="ja-JP"/>
        </w:rPr>
        <w:t>[3</w:t>
      </w:r>
      <w:r w:rsidR="00D12BCB">
        <w:rPr>
          <w:lang w:val="en-US" w:eastAsia="ja-JP"/>
        </w:rPr>
        <w:t xml:space="preserve">] FLUS Work Item: </w:t>
      </w:r>
      <w:hyperlink r:id="rId8" w:history="1">
        <w:r w:rsidR="00D12BCB" w:rsidRPr="00AA28B1">
          <w:rPr>
            <w:rStyle w:val="Hyperlink"/>
            <w:lang w:eastAsia="ja-JP"/>
          </w:rPr>
          <w:t>http://www.3gpp.org/ftp/tsg_sa/TSG_SA/TSGS_76/Docs//SP-170576.zip</w:t>
        </w:r>
      </w:hyperlink>
    </w:p>
    <w:p w14:paraId="0A8D222E" w14:textId="5556CB2D" w:rsidR="007F0F9F" w:rsidRDefault="007F0F9F" w:rsidP="007F0F9F">
      <w:pPr>
        <w:rPr>
          <w:lang w:val="en-US" w:eastAsia="ja-JP"/>
        </w:rPr>
      </w:pPr>
      <w:r>
        <w:rPr>
          <w:lang w:val="en-US" w:eastAsia="ja-JP"/>
        </w:rPr>
        <w:t xml:space="preserve">[4] CODVRA </w:t>
      </w:r>
      <w:r w:rsidR="00C65598">
        <w:rPr>
          <w:lang w:val="en-US" w:eastAsia="ja-JP"/>
        </w:rPr>
        <w:t>Study</w:t>
      </w:r>
      <w:r>
        <w:rPr>
          <w:lang w:val="en-US" w:eastAsia="ja-JP"/>
        </w:rPr>
        <w:t xml:space="preserve"> Item: </w:t>
      </w:r>
      <w:hyperlink r:id="rId9" w:history="1">
        <w:r w:rsidR="00B31A8C" w:rsidRPr="00426FC6">
          <w:rPr>
            <w:rStyle w:val="Hyperlink"/>
            <w:lang w:eastAsia="ja-JP"/>
          </w:rPr>
          <w:t>http://www.3gpp.org/ftp/tsg_sa/TSG_SA/TSGS_77/Docs//SP-170617.zip</w:t>
        </w:r>
      </w:hyperlink>
    </w:p>
    <w:p w14:paraId="636505BE" w14:textId="4DA67AA5" w:rsidR="007F0F9F" w:rsidRDefault="007F0F9F" w:rsidP="007F0F9F">
      <w:pPr>
        <w:rPr>
          <w:lang w:val="en-US" w:eastAsia="ja-JP"/>
        </w:rPr>
      </w:pPr>
      <w:r>
        <w:rPr>
          <w:lang w:val="en-US" w:eastAsia="ja-JP"/>
        </w:rPr>
        <w:t xml:space="preserve">[5] IVAS </w:t>
      </w:r>
      <w:r w:rsidR="00C65598">
        <w:rPr>
          <w:lang w:val="en-US" w:eastAsia="ja-JP"/>
        </w:rPr>
        <w:t xml:space="preserve">Work </w:t>
      </w:r>
      <w:r>
        <w:rPr>
          <w:lang w:val="en-US" w:eastAsia="ja-JP"/>
        </w:rPr>
        <w:t xml:space="preserve">Item: </w:t>
      </w:r>
      <w:hyperlink r:id="rId10" w:history="1">
        <w:r w:rsidR="00E07B93" w:rsidRPr="00426FC6">
          <w:rPr>
            <w:rStyle w:val="Hyperlink"/>
            <w:lang w:eastAsia="ja-JP"/>
          </w:rPr>
          <w:t>http://www.3gpp.org/ftp/tsg_sa/TSG_SA/TSGS_77/Docs//SP-170611.zip</w:t>
        </w:r>
      </w:hyperlink>
    </w:p>
    <w:p w14:paraId="359A2B5B" w14:textId="77777777" w:rsidR="005E5DE7" w:rsidRPr="00D12BCB" w:rsidRDefault="005E5DE7">
      <w:pPr>
        <w:rPr>
          <w:lang w:val="en-US"/>
        </w:rPr>
      </w:pPr>
    </w:p>
    <w:sectPr w:rsidR="005E5DE7" w:rsidRPr="00D12BCB" w:rsidSect="00D12BCB">
      <w:headerReference w:type="default" r:id="rId11"/>
      <w:footerReference w:type="defaul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F8DAF" w14:textId="77777777" w:rsidR="00D81D7F" w:rsidRDefault="00D81D7F" w:rsidP="00D12BCB">
      <w:pPr>
        <w:spacing w:before="0" w:after="0" w:line="240" w:lineRule="auto"/>
      </w:pPr>
      <w:r>
        <w:separator/>
      </w:r>
    </w:p>
  </w:endnote>
  <w:endnote w:type="continuationSeparator" w:id="0">
    <w:p w14:paraId="3E8B6657" w14:textId="77777777" w:rsidR="00D81D7F" w:rsidRDefault="00D81D7F" w:rsidP="00D12BC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C8F7A" w14:textId="1ECAEFF2" w:rsidR="00D12BCB" w:rsidRDefault="00D12BCB" w:rsidP="00D12BCB">
    <w:pPr>
      <w:pStyle w:val="Footer"/>
      <w:tabs>
        <w:tab w:val="right" w:pos="9360"/>
      </w:tabs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2A4F69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2A4F69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  <w:p w14:paraId="00592D84" w14:textId="77777777" w:rsidR="00D12BCB" w:rsidRDefault="00D12B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33CD88" w14:textId="77777777" w:rsidR="00D81D7F" w:rsidRDefault="00D81D7F" w:rsidP="00D12BCB">
      <w:pPr>
        <w:spacing w:before="0" w:after="0" w:line="240" w:lineRule="auto"/>
      </w:pPr>
      <w:r>
        <w:separator/>
      </w:r>
    </w:p>
  </w:footnote>
  <w:footnote w:type="continuationSeparator" w:id="0">
    <w:p w14:paraId="7660DD87" w14:textId="77777777" w:rsidR="00D81D7F" w:rsidRDefault="00D81D7F" w:rsidP="00D12BC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93B75" w14:textId="745501D6" w:rsidR="00D12BCB" w:rsidRPr="00593205" w:rsidRDefault="00D12BCB" w:rsidP="00D12BCB">
    <w:pPr>
      <w:tabs>
        <w:tab w:val="left" w:pos="3614"/>
        <w:tab w:val="right" w:pos="9352"/>
      </w:tabs>
      <w:spacing w:before="60" w:after="0" w:line="240" w:lineRule="exact"/>
      <w:rPr>
        <w:rFonts w:cs="Arial"/>
        <w:color w:val="000000"/>
        <w:sz w:val="20"/>
      </w:rPr>
    </w:pPr>
    <w:r>
      <w:rPr>
        <w:rFonts w:cs="Arial"/>
        <w:sz w:val="20"/>
      </w:rPr>
      <w:t>3GPP TSG-SA4 Meeting #97</w:t>
    </w:r>
    <w:r>
      <w:rPr>
        <w:rFonts w:cs="Arial"/>
        <w:color w:val="000000"/>
        <w:sz w:val="20"/>
      </w:rPr>
      <w:tab/>
    </w:r>
    <w:r>
      <w:rPr>
        <w:rFonts w:cs="Arial"/>
        <w:color w:val="000000"/>
        <w:sz w:val="20"/>
      </w:rPr>
      <w:tab/>
    </w:r>
    <w:proofErr w:type="spellStart"/>
    <w:r w:rsidRPr="00243170">
      <w:rPr>
        <w:b/>
        <w:i/>
        <w:sz w:val="32"/>
      </w:rPr>
      <w:t>Tdoc</w:t>
    </w:r>
    <w:proofErr w:type="spellEnd"/>
    <w:r w:rsidRPr="00243170">
      <w:rPr>
        <w:b/>
        <w:i/>
        <w:sz w:val="32"/>
      </w:rPr>
      <w:t xml:space="preserve"> </w:t>
    </w:r>
    <w:r>
      <w:rPr>
        <w:rFonts w:cs="Arial"/>
        <w:b/>
        <w:i/>
        <w:sz w:val="32"/>
        <w:szCs w:val="32"/>
      </w:rPr>
      <w:t>S4-180</w:t>
    </w:r>
    <w:r w:rsidR="002A4F69">
      <w:rPr>
        <w:rFonts w:cs="Arial"/>
        <w:b/>
        <w:i/>
        <w:sz w:val="32"/>
        <w:szCs w:val="32"/>
      </w:rPr>
      <w:t>102</w:t>
    </w:r>
  </w:p>
  <w:p w14:paraId="032AEB46" w14:textId="77777777" w:rsidR="00D12BCB" w:rsidRDefault="00D12BCB" w:rsidP="00D12BCB">
    <w:pPr>
      <w:spacing w:after="0" w:line="240" w:lineRule="auto"/>
      <w:rPr>
        <w:rFonts w:cs="Arial"/>
        <w:color w:val="000000"/>
        <w:sz w:val="20"/>
      </w:rPr>
    </w:pPr>
    <w:r>
      <w:rPr>
        <w:rFonts w:cs="Arial"/>
        <w:color w:val="000000"/>
        <w:sz w:val="20"/>
      </w:rPr>
      <w:t>Fukuoka, Japan, 5-9 February 2018</w:t>
    </w:r>
  </w:p>
  <w:p w14:paraId="209081E5" w14:textId="77777777" w:rsidR="00D12BCB" w:rsidRDefault="00D12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DE7"/>
    <w:rsid w:val="00187EE6"/>
    <w:rsid w:val="002A4F69"/>
    <w:rsid w:val="003B1D16"/>
    <w:rsid w:val="005E5DE7"/>
    <w:rsid w:val="007F0F9F"/>
    <w:rsid w:val="008E3CF7"/>
    <w:rsid w:val="00AB3293"/>
    <w:rsid w:val="00B31A8C"/>
    <w:rsid w:val="00C65598"/>
    <w:rsid w:val="00D12BCB"/>
    <w:rsid w:val="00D81D7F"/>
    <w:rsid w:val="00E07B93"/>
    <w:rsid w:val="00E168E0"/>
    <w:rsid w:val="00E8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EC1321"/>
  <w15:chartTrackingRefBased/>
  <w15:docId w15:val="{AA5F14A4-62EB-4F6D-84C1-B1D96899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2BCB"/>
    <w:pPr>
      <w:widowControl w:val="0"/>
      <w:spacing w:before="40" w:after="120" w:line="240" w:lineRule="atLeast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Heading4"/>
    <w:next w:val="Normal"/>
    <w:link w:val="Heading1Char"/>
    <w:uiPriority w:val="9"/>
    <w:qFormat/>
    <w:rsid w:val="00D12BCB"/>
    <w:pPr>
      <w:keepLines w:val="0"/>
      <w:tabs>
        <w:tab w:val="left" w:pos="851"/>
        <w:tab w:val="left" w:pos="1418"/>
        <w:tab w:val="left" w:pos="2127"/>
        <w:tab w:val="right" w:pos="8820"/>
      </w:tabs>
      <w:spacing w:before="480"/>
      <w:ind w:left="2268" w:hanging="2268"/>
      <w:outlineLvl w:val="0"/>
    </w:pPr>
    <w:rPr>
      <w:rFonts w:ascii="Arial" w:eastAsia="Batang" w:hAnsi="Arial" w:cs="Times New Roman"/>
      <w:b/>
      <w:i w:val="0"/>
      <w:iCs w:val="0"/>
      <w:color w:val="auto"/>
      <w:sz w:val="32"/>
      <w:lang w:val="en-US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BCB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2BCB"/>
    <w:pPr>
      <w:widowControl/>
      <w:tabs>
        <w:tab w:val="center" w:pos="4703"/>
        <w:tab w:val="right" w:pos="9406"/>
      </w:tabs>
      <w:spacing w:before="0" w:after="0"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D12BCB"/>
  </w:style>
  <w:style w:type="paragraph" w:styleId="Footer">
    <w:name w:val="footer"/>
    <w:basedOn w:val="Normal"/>
    <w:link w:val="FooterChar"/>
    <w:unhideWhenUsed/>
    <w:rsid w:val="00D12BCB"/>
    <w:pPr>
      <w:widowControl/>
      <w:tabs>
        <w:tab w:val="center" w:pos="4703"/>
        <w:tab w:val="right" w:pos="9406"/>
      </w:tabs>
      <w:spacing w:before="0" w:after="0"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D12BCB"/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9"/>
    <w:rsid w:val="00D12BCB"/>
    <w:rPr>
      <w:rFonts w:ascii="Arial" w:eastAsia="Batang" w:hAnsi="Arial" w:cs="Times New Roman"/>
      <w:b/>
      <w:sz w:val="32"/>
      <w:szCs w:val="20"/>
      <w:lang w:eastAsia="ja-JP"/>
    </w:rPr>
  </w:style>
  <w:style w:type="character" w:styleId="Hyperlink">
    <w:name w:val="Hyperlink"/>
    <w:uiPriority w:val="99"/>
    <w:rsid w:val="00D12BCB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BCB"/>
    <w:rPr>
      <w:rFonts w:asciiTheme="majorHAnsi" w:eastAsiaTheme="majorEastAsia" w:hAnsiTheme="majorHAnsi" w:cstheme="majorBidi"/>
      <w:i/>
      <w:iCs/>
      <w:color w:val="2F5496" w:themeColor="accent1" w:themeShade="BF"/>
      <w:szCs w:val="20"/>
      <w:lang w:val="en-GB"/>
    </w:rPr>
  </w:style>
  <w:style w:type="character" w:styleId="PageNumber">
    <w:name w:val="page number"/>
    <w:basedOn w:val="DefaultParagraphFont"/>
    <w:rsid w:val="00D12BCB"/>
  </w:style>
  <w:style w:type="character" w:styleId="UnresolvedMention">
    <w:name w:val="Unresolved Mention"/>
    <w:basedOn w:val="DefaultParagraphFont"/>
    <w:uiPriority w:val="99"/>
    <w:semiHidden/>
    <w:unhideWhenUsed/>
    <w:rsid w:val="008E3CF7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TSG_SA/TSGS_76/Docs//SP-170576.zip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tsg_sa/TSG_SA/TSGS_77/Docs//SP-170612.zip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DynaReport/26918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3gpp.org/ftp/tsg_sa/TSG_SA/TSGS_77/Docs//SP-170611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3gpp.org/ftp/tsg_sa/TSG_SA/TSGS_77/Docs//SP-170617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Burman</dc:creator>
  <cp:keywords/>
  <dc:description/>
  <cp:lastModifiedBy>Bo Burman</cp:lastModifiedBy>
  <cp:revision>5</cp:revision>
  <dcterms:created xsi:type="dcterms:W3CDTF">2018-01-30T00:21:00Z</dcterms:created>
  <dcterms:modified xsi:type="dcterms:W3CDTF">2018-01-30T16:24:00Z</dcterms:modified>
</cp:coreProperties>
</file>